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7E703E" w14:paraId="4262695A" w14:textId="77777777">
        <w:tblPrEx>
          <w:tblCellMar>
            <w:top w:w="0" w:type="dxa"/>
            <w:bottom w:w="0" w:type="dxa"/>
          </w:tblCellMar>
        </w:tblPrEx>
        <w:tc>
          <w:tcPr>
            <w:tcW w:w="2400" w:type="dxa"/>
            <w:tcBorders>
              <w:top w:val="none" w:sz="0" w:space="0" w:color="FFFFFF"/>
              <w:left w:val="none" w:sz="0" w:space="0" w:color="FFFFFF"/>
              <w:bottom w:val="none" w:sz="0" w:space="0" w:color="FFFFFF"/>
              <w:right w:val="none" w:sz="0" w:space="0" w:color="FFFFFF"/>
            </w:tcBorders>
            <w:shd w:val="clear" w:color="auto" w:fill="1F3A5F"/>
            <w:tcMar>
              <w:top w:w="240" w:type="dxa"/>
              <w:left w:w="200" w:type="dxa"/>
              <w:bottom w:w="240" w:type="dxa"/>
              <w:right w:w="200" w:type="dxa"/>
            </w:tcMar>
            <w:vAlign w:val="center"/>
          </w:tcPr>
          <w:p w14:paraId="57857587" w14:textId="77777777" w:rsidR="007E703E" w:rsidRDefault="005C6EA3">
            <w:pPr>
              <w:spacing w:after="40"/>
              <w:jc w:val="center"/>
            </w:pPr>
            <w:r>
              <w:rPr>
                <w:b/>
                <w:bCs/>
                <w:color w:val="FFFFFF"/>
                <w:sz w:val="64"/>
                <w:szCs w:val="64"/>
              </w:rPr>
              <w:t>1975</w:t>
            </w:r>
          </w:p>
          <w:p w14:paraId="35FA9416" w14:textId="77777777" w:rsidR="007E703E" w:rsidRDefault="005C6EA3">
            <w:pPr>
              <w:jc w:val="center"/>
            </w:pPr>
            <w:r>
              <w:rPr>
                <w:color w:val="FFFFFF"/>
                <w:spacing w:val="30"/>
                <w:sz w:val="18"/>
                <w:szCs w:val="18"/>
              </w:rPr>
              <w:t>KODAK</w:t>
            </w:r>
          </w:p>
        </w:tc>
        <w:tc>
          <w:tcPr>
            <w:tcW w:w="6960" w:type="dxa"/>
            <w:tcBorders>
              <w:top w:val="none" w:sz="0" w:space="0" w:color="FFFFFF"/>
              <w:left w:val="none" w:sz="0" w:space="0" w:color="FFFFFF"/>
              <w:bottom w:val="none" w:sz="0" w:space="0" w:color="FFFFFF"/>
              <w:right w:val="none" w:sz="0" w:space="0" w:color="FFFFFF"/>
            </w:tcBorders>
            <w:tcMar>
              <w:top w:w="240" w:type="dxa"/>
              <w:left w:w="320" w:type="dxa"/>
              <w:bottom w:w="240" w:type="dxa"/>
              <w:right w:w="200" w:type="dxa"/>
            </w:tcMar>
            <w:vAlign w:val="center"/>
          </w:tcPr>
          <w:p w14:paraId="690FD3E0" w14:textId="77777777" w:rsidR="007E703E" w:rsidRDefault="005C6EA3">
            <w:pPr>
              <w:spacing w:after="60"/>
            </w:pPr>
            <w:r>
              <w:rPr>
                <w:b/>
                <w:bCs/>
                <w:color w:val="AB1A50"/>
                <w:spacing w:val="40"/>
                <w:sz w:val="18"/>
                <w:szCs w:val="18"/>
              </w:rPr>
              <w:t>CASE STUDY</w:t>
            </w:r>
          </w:p>
          <w:p w14:paraId="1F4027F2" w14:textId="77777777" w:rsidR="007E703E" w:rsidRDefault="005C6EA3">
            <w:pPr>
              <w:spacing w:after="80"/>
            </w:pPr>
            <w:r>
              <w:rPr>
                <w:b/>
                <w:bCs/>
                <w:color w:val="1F3A5F"/>
                <w:sz w:val="40"/>
                <w:szCs w:val="40"/>
              </w:rPr>
              <w:t>The digital camera Kodak buried</w:t>
            </w:r>
          </w:p>
          <w:p w14:paraId="7B493425" w14:textId="77777777" w:rsidR="007E703E" w:rsidRDefault="005C6EA3">
            <w:pPr>
              <w:spacing w:line="280" w:lineRule="auto"/>
            </w:pPr>
            <w:r>
              <w:rPr>
                <w:i/>
                <w:iCs/>
                <w:color w:val="5A5A5A"/>
                <w:sz w:val="22"/>
                <w:szCs w:val="22"/>
              </w:rPr>
              <w:t xml:space="preserve">How a 24-year-old engineer demoed the </w:t>
            </w:r>
            <w:proofErr w:type="gramStart"/>
            <w:r>
              <w:rPr>
                <w:i/>
                <w:iCs/>
                <w:color w:val="5A5A5A"/>
                <w:sz w:val="22"/>
                <w:szCs w:val="22"/>
              </w:rPr>
              <w:t>future, and</w:t>
            </w:r>
            <w:proofErr w:type="gramEnd"/>
            <w:r>
              <w:rPr>
                <w:i/>
                <w:iCs/>
                <w:color w:val="5A5A5A"/>
                <w:sz w:val="22"/>
                <w:szCs w:val="22"/>
              </w:rPr>
              <w:t xml:space="preserve"> got told to keep it quiet.</w:t>
            </w:r>
          </w:p>
        </w:tc>
      </w:tr>
    </w:tbl>
    <w:p w14:paraId="5470698D" w14:textId="77777777" w:rsidR="007E703E" w:rsidRDefault="007E703E">
      <w:pPr>
        <w:spacing w:after="140"/>
      </w:pPr>
    </w:p>
    <w:p w14:paraId="778E277A" w14:textId="77777777" w:rsidR="007E703E" w:rsidRDefault="005C6EA3">
      <w:pPr>
        <w:spacing w:before="120" w:after="40"/>
      </w:pPr>
      <w:r>
        <w:rPr>
          <w:b/>
          <w:bCs/>
          <w:color w:val="1F3A5F"/>
          <w:sz w:val="22"/>
          <w:szCs w:val="22"/>
        </w:rPr>
        <w:t>The setup</w:t>
      </w:r>
    </w:p>
    <w:p w14:paraId="238D6AAF" w14:textId="77777777" w:rsidR="007E703E" w:rsidRDefault="005C6EA3">
      <w:pPr>
        <w:spacing w:after="120" w:line="290" w:lineRule="auto"/>
      </w:pPr>
      <w:r>
        <w:rPr>
          <w:color w:val="1A1A1A"/>
        </w:rPr>
        <w:t>Steven Sasson, 24 years old, electrical engineer at Kodak’s research lab in Rochester. After two years of work, in December 1975, he had built the world’s first portable, self-contained digital camera. It weighed 3.6 kg, captured black-and-white images at 0.01 megapixels, and saved them to cassette tape. Each photo took 23 seconds to write and another 30 seconds to display on a TV.</w:t>
      </w:r>
    </w:p>
    <w:p w14:paraId="03427CB1" w14:textId="77777777" w:rsidR="007E703E" w:rsidRDefault="005C6EA3">
      <w:pPr>
        <w:spacing w:before="120" w:after="40"/>
      </w:pPr>
      <w:r>
        <w:rPr>
          <w:b/>
          <w:bCs/>
          <w:color w:val="1F3A5F"/>
          <w:sz w:val="22"/>
          <w:szCs w:val="22"/>
        </w:rPr>
        <w:t>The moment</w:t>
      </w:r>
    </w:p>
    <w:p w14:paraId="28B63FDC" w14:textId="77777777" w:rsidR="007E703E" w:rsidRDefault="005C6EA3">
      <w:pPr>
        <w:spacing w:after="120" w:line="290" w:lineRule="auto"/>
      </w:pPr>
      <w:r>
        <w:rPr>
          <w:color w:val="1A1A1A"/>
        </w:rPr>
        <w:t>Sasson demoed the device to Kodak’s executives in 1976. He showed them how it worked: a photograph of someone in the room, captured electronically, displayed on a screen with no film involved.</w:t>
      </w:r>
    </w:p>
    <w:p w14:paraId="72BC9F2E" w14:textId="77777777" w:rsidR="007E703E" w:rsidRDefault="005C6EA3">
      <w:pPr>
        <w:pBdr>
          <w:left w:val="single" w:sz="24" w:space="12" w:color="AB1A50"/>
        </w:pBdr>
        <w:spacing w:before="100" w:after="160" w:line="300" w:lineRule="auto"/>
        <w:ind w:left="360" w:right="240"/>
      </w:pPr>
      <w:r>
        <w:rPr>
          <w:i/>
          <w:iCs/>
          <w:color w:val="1F3A5F"/>
          <w:sz w:val="24"/>
          <w:szCs w:val="24"/>
        </w:rPr>
        <w:t>“That’s cute, but don’t tell anyone about it.”</w:t>
      </w:r>
    </w:p>
    <w:p w14:paraId="4933AAC3" w14:textId="77777777" w:rsidR="007E703E" w:rsidRDefault="005C6EA3">
      <w:pPr>
        <w:spacing w:after="100" w:line="290" w:lineRule="auto"/>
      </w:pPr>
      <w:r>
        <w:rPr>
          <w:color w:val="1A1A1A"/>
        </w:rPr>
        <w:t xml:space="preserve">Their reasoning was not stupid. Film was Kodak’s gravy train. Capture, processing, printing: every step produced revenue. A filmless camera threatened the entire business model, and the product was nowhere near </w:t>
      </w:r>
      <w:proofErr w:type="gramStart"/>
      <w:r>
        <w:rPr>
          <w:color w:val="1A1A1A"/>
        </w:rPr>
        <w:t>market-ready</w:t>
      </w:r>
      <w:proofErr w:type="gramEnd"/>
      <w:r>
        <w:rPr>
          <w:color w:val="1A1A1A"/>
        </w:rPr>
        <w:t xml:space="preserve">. </w:t>
      </w:r>
      <w:proofErr w:type="gramStart"/>
      <w:r>
        <w:rPr>
          <w:color w:val="1A1A1A"/>
        </w:rPr>
        <w:t>So</w:t>
      </w:r>
      <w:proofErr w:type="gramEnd"/>
      <w:r>
        <w:rPr>
          <w:color w:val="1A1A1A"/>
        </w:rPr>
        <w:t xml:space="preserve"> they patented it in 1978 and locked it in a drawer.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2A67BD51" w14:textId="77777777">
        <w:tblPrEx>
          <w:tblCellMar>
            <w:top w:w="0" w:type="dxa"/>
            <w:bottom w:w="0" w:type="dxa"/>
          </w:tblCellMar>
        </w:tblPrEx>
        <w:tc>
          <w:tcPr>
            <w:tcW w:w="9360" w:type="dxa"/>
            <w:tcBorders>
              <w:top w:val="single" w:sz="2" w:space="0" w:color="BBBBBB"/>
              <w:left w:val="single" w:sz="18" w:space="0" w:color="1F3A5F"/>
              <w:bottom w:val="single" w:sz="2" w:space="0" w:color="BBBBBB"/>
              <w:right w:val="single" w:sz="2" w:space="0" w:color="BBBBBB"/>
            </w:tcBorders>
            <w:shd w:val="clear" w:color="auto" w:fill="F4F4F1"/>
            <w:tcMar>
              <w:top w:w="140" w:type="dxa"/>
              <w:left w:w="240" w:type="dxa"/>
              <w:bottom w:w="140" w:type="dxa"/>
              <w:right w:w="220" w:type="dxa"/>
            </w:tcMar>
          </w:tcPr>
          <w:p w14:paraId="5E2AC8D7" w14:textId="77777777" w:rsidR="007E703E" w:rsidRDefault="005C6EA3">
            <w:pPr>
              <w:spacing w:line="290" w:lineRule="auto"/>
            </w:pPr>
            <w:r>
              <w:rPr>
                <w:b/>
                <w:bCs/>
                <w:color w:val="1F3A5F"/>
              </w:rPr>
              <w:t xml:space="preserve">What happened next. </w:t>
            </w:r>
            <w:r>
              <w:rPr>
                <w:color w:val="1A1A1A"/>
              </w:rPr>
              <w:t>Kodak kept innovating quietly, eventually amassing over 1,000 digital imaging patents. Sasson and Robert Hills built the first DSLR in 1989, but marketing refused to launch it for fear of cannibalizing film. Kodak entered the mass-market digital business in 2001, briefly led U.S. market share in 2004, and filed for Chapter 11 bankruptcy in January 2012.</w:t>
            </w:r>
          </w:p>
        </w:tc>
      </w:tr>
    </w:tbl>
    <w:p w14:paraId="68D6A4C4" w14:textId="77777777" w:rsidR="007E703E" w:rsidRDefault="007E703E">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62590673" w14:textId="77777777">
        <w:tblPrEx>
          <w:tblCellMar>
            <w:top w:w="0" w:type="dxa"/>
            <w:bottom w:w="0" w:type="dxa"/>
          </w:tblCellMar>
        </w:tblPrEx>
        <w:tc>
          <w:tcPr>
            <w:tcW w:w="9360" w:type="dxa"/>
            <w:tcBorders>
              <w:top w:val="single" w:sz="6" w:space="0" w:color="AB1A50"/>
              <w:left w:val="single" w:sz="32" w:space="0" w:color="AB1A50"/>
              <w:bottom w:val="none" w:sz="0" w:space="0" w:color="FFFFFF"/>
              <w:right w:val="single" w:sz="6" w:space="0" w:color="AB1A50"/>
            </w:tcBorders>
            <w:shd w:val="clear" w:color="auto" w:fill="AB1A50"/>
            <w:tcMar>
              <w:top w:w="100" w:type="dxa"/>
              <w:left w:w="240" w:type="dxa"/>
              <w:bottom w:w="100" w:type="dxa"/>
              <w:right w:w="220" w:type="dxa"/>
            </w:tcMar>
          </w:tcPr>
          <w:p w14:paraId="0D7BD2F7" w14:textId="77777777" w:rsidR="007E703E" w:rsidRDefault="005C6EA3">
            <w:pPr>
              <w:spacing w:after="120"/>
            </w:pPr>
            <w:r>
              <w:rPr>
                <w:b/>
                <w:bCs/>
                <w:color w:val="FFFFFF"/>
                <w:spacing w:val="60"/>
                <w:sz w:val="22"/>
                <w:szCs w:val="22"/>
              </w:rPr>
              <w:t>YOUR DESIGN TASK</w:t>
            </w:r>
          </w:p>
        </w:tc>
      </w:tr>
      <w:tr w:rsidR="007E703E" w14:paraId="439581CC" w14:textId="77777777">
        <w:tblPrEx>
          <w:tblCellMar>
            <w:top w:w="0" w:type="dxa"/>
            <w:bottom w:w="0" w:type="dxa"/>
          </w:tblCellMar>
        </w:tblPrEx>
        <w:tc>
          <w:tcPr>
            <w:tcW w:w="9360" w:type="dxa"/>
            <w:tcBorders>
              <w:top w:val="none" w:sz="0" w:space="0" w:color="FFFFFF"/>
              <w:left w:val="single" w:sz="32" w:space="0" w:color="AB1A50"/>
              <w:bottom w:val="single" w:sz="6" w:space="0" w:color="AB1A50"/>
              <w:right w:val="single" w:sz="6" w:space="0" w:color="AB1A50"/>
            </w:tcBorders>
            <w:shd w:val="clear" w:color="auto" w:fill="FAEAEF"/>
            <w:tcMar>
              <w:top w:w="160" w:type="dxa"/>
              <w:left w:w="240" w:type="dxa"/>
              <w:bottom w:w="200" w:type="dxa"/>
              <w:right w:w="220" w:type="dxa"/>
            </w:tcMar>
          </w:tcPr>
          <w:p w14:paraId="0C5956E0" w14:textId="77777777" w:rsidR="007E703E" w:rsidRDefault="005C6EA3">
            <w:pPr>
              <w:spacing w:after="100" w:line="290" w:lineRule="auto"/>
            </w:pPr>
            <w:r>
              <w:rPr>
                <w:color w:val="1A1A1A"/>
              </w:rPr>
              <w:t>The Kodak executives were asking the only question they knew how to ask: what is the expected return? Against that question, a filmless camera looked like a way to destroy their own revenue. They were not asking the Affordable Loss question.</w:t>
            </w:r>
          </w:p>
          <w:p w14:paraId="5A6694D5" w14:textId="77777777" w:rsidR="007E703E" w:rsidRDefault="005C6EA3">
            <w:pPr>
              <w:spacing w:after="100" w:line="290" w:lineRule="auto"/>
            </w:pPr>
            <w:r>
              <w:rPr>
                <w:color w:val="1A1A1A"/>
              </w:rPr>
              <w:t xml:space="preserve">Your Uncertainty Navigator would have put a different question in front of them: </w:t>
            </w:r>
            <w:r>
              <w:rPr>
                <w:b/>
                <w:bCs/>
                <w:i/>
                <w:iCs/>
                <w:color w:val="1F3A5F"/>
              </w:rPr>
              <w:t>what is the smallest amount we could put on the table to find out if digital is real, without putting the film business at risk?</w:t>
            </w:r>
          </w:p>
          <w:p w14:paraId="2C6897D5" w14:textId="77777777" w:rsidR="007E703E" w:rsidRDefault="005C6EA3">
            <w:pPr>
              <w:spacing w:line="290" w:lineRule="auto"/>
            </w:pPr>
            <w:r>
              <w:rPr>
                <w:color w:val="1A1A1A"/>
              </w:rPr>
              <w:t xml:space="preserve">Show how your tool reframes the room. What loss profile does it make visible? What concrete next step does it produce? Would the output have </w:t>
            </w:r>
            <w:proofErr w:type="gramStart"/>
            <w:r>
              <w:rPr>
                <w:color w:val="1A1A1A"/>
              </w:rPr>
              <w:t>actually changed</w:t>
            </w:r>
            <w:proofErr w:type="gramEnd"/>
            <w:r>
              <w:rPr>
                <w:color w:val="1A1A1A"/>
              </w:rPr>
              <w:t xml:space="preserve"> the decision in 1976?</w:t>
            </w:r>
          </w:p>
        </w:tc>
      </w:tr>
    </w:tbl>
    <w:p w14:paraId="59A14A85" w14:textId="77777777" w:rsidR="007E703E" w:rsidRDefault="005C6EA3">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7E703E" w14:paraId="1CF34264" w14:textId="77777777">
        <w:tblPrEx>
          <w:tblCellMar>
            <w:top w:w="0" w:type="dxa"/>
            <w:bottom w:w="0" w:type="dxa"/>
          </w:tblCellMar>
        </w:tblPrEx>
        <w:tc>
          <w:tcPr>
            <w:tcW w:w="2400" w:type="dxa"/>
            <w:tcBorders>
              <w:top w:val="none" w:sz="0" w:space="0" w:color="FFFFFF"/>
              <w:left w:val="none" w:sz="0" w:space="0" w:color="FFFFFF"/>
              <w:bottom w:val="none" w:sz="0" w:space="0" w:color="FFFFFF"/>
              <w:right w:val="none" w:sz="0" w:space="0" w:color="FFFFFF"/>
            </w:tcBorders>
            <w:shd w:val="clear" w:color="auto" w:fill="1F3A5F"/>
            <w:tcMar>
              <w:top w:w="240" w:type="dxa"/>
              <w:left w:w="200" w:type="dxa"/>
              <w:bottom w:w="240" w:type="dxa"/>
              <w:right w:w="200" w:type="dxa"/>
            </w:tcMar>
            <w:vAlign w:val="center"/>
          </w:tcPr>
          <w:p w14:paraId="1BB4C13C" w14:textId="77777777" w:rsidR="007E703E" w:rsidRDefault="005C6EA3">
            <w:pPr>
              <w:spacing w:after="40"/>
              <w:jc w:val="center"/>
            </w:pPr>
            <w:r>
              <w:rPr>
                <w:b/>
                <w:bCs/>
                <w:color w:val="FFFFFF"/>
                <w:sz w:val="64"/>
                <w:szCs w:val="64"/>
              </w:rPr>
              <w:lastRenderedPageBreak/>
              <w:t>1968</w:t>
            </w:r>
          </w:p>
          <w:p w14:paraId="0065EA60" w14:textId="77777777" w:rsidR="007E703E" w:rsidRDefault="005C6EA3">
            <w:pPr>
              <w:jc w:val="center"/>
            </w:pPr>
            <w:r>
              <w:rPr>
                <w:color w:val="FFFFFF"/>
                <w:spacing w:val="30"/>
                <w:sz w:val="18"/>
                <w:szCs w:val="18"/>
              </w:rPr>
              <w:t>3M</w:t>
            </w:r>
          </w:p>
        </w:tc>
        <w:tc>
          <w:tcPr>
            <w:tcW w:w="6960" w:type="dxa"/>
            <w:tcBorders>
              <w:top w:val="none" w:sz="0" w:space="0" w:color="FFFFFF"/>
              <w:left w:val="none" w:sz="0" w:space="0" w:color="FFFFFF"/>
              <w:bottom w:val="none" w:sz="0" w:space="0" w:color="FFFFFF"/>
              <w:right w:val="none" w:sz="0" w:space="0" w:color="FFFFFF"/>
            </w:tcBorders>
            <w:tcMar>
              <w:top w:w="240" w:type="dxa"/>
              <w:left w:w="320" w:type="dxa"/>
              <w:bottom w:w="240" w:type="dxa"/>
              <w:right w:w="200" w:type="dxa"/>
            </w:tcMar>
            <w:vAlign w:val="center"/>
          </w:tcPr>
          <w:p w14:paraId="60DD149A" w14:textId="77777777" w:rsidR="007E703E" w:rsidRDefault="005C6EA3">
            <w:pPr>
              <w:spacing w:after="60"/>
            </w:pPr>
            <w:r>
              <w:rPr>
                <w:b/>
                <w:bCs/>
                <w:color w:val="AB1A50"/>
                <w:spacing w:val="40"/>
                <w:sz w:val="18"/>
                <w:szCs w:val="18"/>
              </w:rPr>
              <w:t>CASE STUDY</w:t>
            </w:r>
          </w:p>
          <w:p w14:paraId="1C6C4CD6" w14:textId="77777777" w:rsidR="007E703E" w:rsidRDefault="005C6EA3">
            <w:pPr>
              <w:spacing w:after="80"/>
            </w:pPr>
            <w:r>
              <w:rPr>
                <w:b/>
                <w:bCs/>
                <w:color w:val="1F3A5F"/>
                <w:sz w:val="40"/>
                <w:szCs w:val="40"/>
              </w:rPr>
              <w:t>The adhesive that did not work</w:t>
            </w:r>
          </w:p>
          <w:p w14:paraId="01CC7D65" w14:textId="77777777" w:rsidR="007E703E" w:rsidRDefault="005C6EA3">
            <w:pPr>
              <w:spacing w:line="280" w:lineRule="auto"/>
            </w:pPr>
            <w:r>
              <w:rPr>
                <w:i/>
                <w:iCs/>
                <w:color w:val="5A5A5A"/>
                <w:sz w:val="22"/>
                <w:szCs w:val="22"/>
              </w:rPr>
              <w:t>Spencer Silver invented something useful. He just could not say what it was useful for.</w:t>
            </w:r>
          </w:p>
        </w:tc>
      </w:tr>
    </w:tbl>
    <w:p w14:paraId="3B46C0BC" w14:textId="77777777" w:rsidR="007E703E" w:rsidRDefault="007E703E">
      <w:pPr>
        <w:spacing w:after="140"/>
      </w:pPr>
    </w:p>
    <w:p w14:paraId="245CC4F0" w14:textId="77777777" w:rsidR="007E703E" w:rsidRDefault="005C6EA3">
      <w:pPr>
        <w:spacing w:before="120" w:after="40"/>
      </w:pPr>
      <w:r>
        <w:rPr>
          <w:b/>
          <w:bCs/>
          <w:color w:val="1F3A5F"/>
          <w:sz w:val="22"/>
          <w:szCs w:val="22"/>
        </w:rPr>
        <w:t>The setup</w:t>
      </w:r>
    </w:p>
    <w:p w14:paraId="15FC0075" w14:textId="77777777" w:rsidR="007E703E" w:rsidRDefault="005C6EA3">
      <w:pPr>
        <w:spacing w:after="120" w:line="290" w:lineRule="auto"/>
      </w:pPr>
      <w:r>
        <w:rPr>
          <w:color w:val="1A1A1A"/>
        </w:rPr>
        <w:t>Spencer Silver, chemist at 3M’s Central Research Labs, was trying to invent a stronger adhesive. He failed. What he produced instead was the opposite: a microsphere adhesive that was permanently tacky but very weak. It stuck, pulled off cleanly, and could be reapplied. By any normal R&amp;D metric, this was a failed experiment.</w:t>
      </w:r>
    </w:p>
    <w:p w14:paraId="7FAA571A" w14:textId="77777777" w:rsidR="007E703E" w:rsidRDefault="005C6EA3">
      <w:pPr>
        <w:spacing w:before="120" w:after="40"/>
      </w:pPr>
      <w:r>
        <w:rPr>
          <w:b/>
          <w:bCs/>
          <w:color w:val="1F3A5F"/>
          <w:sz w:val="22"/>
          <w:szCs w:val="22"/>
        </w:rPr>
        <w:t>The moment</w:t>
      </w:r>
    </w:p>
    <w:p w14:paraId="44DC6F0A" w14:textId="77777777" w:rsidR="007E703E" w:rsidRDefault="005C6EA3">
      <w:pPr>
        <w:spacing w:after="120" w:line="290" w:lineRule="auto"/>
      </w:pPr>
      <w:r>
        <w:rPr>
          <w:color w:val="1A1A1A"/>
        </w:rPr>
        <w:t>Silver believed the adhesive had potential, but he could not articulate the product. For five years he ran internal seminars at 3M, describing the adhesive and asking colleagues what it might be used for. Most ignored him. He later said he was “selling a solution in search of a problem.”</w:t>
      </w:r>
    </w:p>
    <w:p w14:paraId="579CB05E" w14:textId="77777777" w:rsidR="007E703E" w:rsidRDefault="005C6EA3">
      <w:pPr>
        <w:spacing w:after="120" w:line="290" w:lineRule="auto"/>
      </w:pPr>
      <w:r>
        <w:rPr>
          <w:color w:val="1A1A1A"/>
        </w:rPr>
        <w:t>3M’s 15% rule (employees can spend up to 15% of their time on projects of their own choosing) meant Silver could keep working on this without formal approval. But the rule did not produce a product. It only kept the door open.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3CC1CF31" w14:textId="77777777">
        <w:tblPrEx>
          <w:tblCellMar>
            <w:top w:w="0" w:type="dxa"/>
            <w:bottom w:w="0" w:type="dxa"/>
          </w:tblCellMar>
        </w:tblPrEx>
        <w:tc>
          <w:tcPr>
            <w:tcW w:w="9360" w:type="dxa"/>
            <w:tcBorders>
              <w:top w:val="single" w:sz="2" w:space="0" w:color="BBBBBB"/>
              <w:left w:val="single" w:sz="18" w:space="0" w:color="1F3A5F"/>
              <w:bottom w:val="single" w:sz="2" w:space="0" w:color="BBBBBB"/>
              <w:right w:val="single" w:sz="2" w:space="0" w:color="BBBBBB"/>
            </w:tcBorders>
            <w:shd w:val="clear" w:color="auto" w:fill="F4F4F1"/>
            <w:tcMar>
              <w:top w:w="140" w:type="dxa"/>
              <w:left w:w="240" w:type="dxa"/>
              <w:bottom w:w="140" w:type="dxa"/>
              <w:right w:w="220" w:type="dxa"/>
            </w:tcMar>
          </w:tcPr>
          <w:p w14:paraId="3126E8E8" w14:textId="77777777" w:rsidR="007E703E" w:rsidRDefault="005C6EA3">
            <w:pPr>
              <w:spacing w:line="290" w:lineRule="auto"/>
            </w:pPr>
            <w:r>
              <w:rPr>
                <w:b/>
                <w:bCs/>
                <w:color w:val="1F3A5F"/>
              </w:rPr>
              <w:t xml:space="preserve">What happened next. </w:t>
            </w:r>
            <w:r>
              <w:rPr>
                <w:color w:val="1A1A1A"/>
              </w:rPr>
              <w:t>In 1974, Silver’s colleague Art Fry attended one of the seminars. Fry sang in a church choir and used paper scraps to mark hymns, but the scraps kept falling out. He realized Silver’s weak adhesive would solve his problem. Post-it Notes launched in 1980, twelve years after Silver’s original discovery. Both inventors were inducted into the National Inventors Hall of Fame.</w:t>
            </w:r>
          </w:p>
        </w:tc>
      </w:tr>
    </w:tbl>
    <w:p w14:paraId="72366C81" w14:textId="77777777" w:rsidR="007E703E" w:rsidRDefault="007E703E">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3014143C" w14:textId="77777777">
        <w:tblPrEx>
          <w:tblCellMar>
            <w:top w:w="0" w:type="dxa"/>
            <w:bottom w:w="0" w:type="dxa"/>
          </w:tblCellMar>
        </w:tblPrEx>
        <w:tc>
          <w:tcPr>
            <w:tcW w:w="9360" w:type="dxa"/>
            <w:tcBorders>
              <w:top w:val="single" w:sz="6" w:space="0" w:color="AB1A50"/>
              <w:left w:val="single" w:sz="32" w:space="0" w:color="AB1A50"/>
              <w:bottom w:val="none" w:sz="0" w:space="0" w:color="FFFFFF"/>
              <w:right w:val="single" w:sz="6" w:space="0" w:color="AB1A50"/>
            </w:tcBorders>
            <w:shd w:val="clear" w:color="auto" w:fill="AB1A50"/>
            <w:tcMar>
              <w:top w:w="100" w:type="dxa"/>
              <w:left w:w="240" w:type="dxa"/>
              <w:bottom w:w="100" w:type="dxa"/>
              <w:right w:w="220" w:type="dxa"/>
            </w:tcMar>
          </w:tcPr>
          <w:p w14:paraId="2CED8BAC" w14:textId="77777777" w:rsidR="007E703E" w:rsidRDefault="005C6EA3">
            <w:pPr>
              <w:spacing w:after="120"/>
            </w:pPr>
            <w:r>
              <w:rPr>
                <w:b/>
                <w:bCs/>
                <w:color w:val="FFFFFF"/>
                <w:spacing w:val="60"/>
                <w:sz w:val="22"/>
                <w:szCs w:val="22"/>
              </w:rPr>
              <w:t>YOUR DESIGN TASK</w:t>
            </w:r>
          </w:p>
        </w:tc>
      </w:tr>
      <w:tr w:rsidR="007E703E" w14:paraId="003FC3DA" w14:textId="77777777">
        <w:tblPrEx>
          <w:tblCellMar>
            <w:top w:w="0" w:type="dxa"/>
            <w:bottom w:w="0" w:type="dxa"/>
          </w:tblCellMar>
        </w:tblPrEx>
        <w:tc>
          <w:tcPr>
            <w:tcW w:w="9360" w:type="dxa"/>
            <w:tcBorders>
              <w:top w:val="none" w:sz="0" w:space="0" w:color="FFFFFF"/>
              <w:left w:val="single" w:sz="32" w:space="0" w:color="AB1A50"/>
              <w:bottom w:val="single" w:sz="6" w:space="0" w:color="AB1A50"/>
              <w:right w:val="single" w:sz="6" w:space="0" w:color="AB1A50"/>
            </w:tcBorders>
            <w:shd w:val="clear" w:color="auto" w:fill="FAEAEF"/>
            <w:tcMar>
              <w:top w:w="160" w:type="dxa"/>
              <w:left w:w="240" w:type="dxa"/>
              <w:bottom w:w="200" w:type="dxa"/>
              <w:right w:w="220" w:type="dxa"/>
            </w:tcMar>
          </w:tcPr>
          <w:p w14:paraId="0D5917F8" w14:textId="77777777" w:rsidR="007E703E" w:rsidRDefault="005C6EA3">
            <w:pPr>
              <w:spacing w:after="100" w:line="290" w:lineRule="auto"/>
            </w:pPr>
            <w:r>
              <w:rPr>
                <w:color w:val="1A1A1A"/>
              </w:rPr>
              <w:t>This is a different kind of uncertainty than Kodak’s. Silver did not know what his discovery was for. He had no product hypothesis to test against. His Affordable Loss was bounded by the 15% policy, which meant he was committing time the company had explicitly allocated to exploration. But he had no concrete next step for five years.</w:t>
            </w:r>
          </w:p>
          <w:p w14:paraId="2DF9343A" w14:textId="77777777" w:rsidR="007E703E" w:rsidRDefault="005C6EA3">
            <w:pPr>
              <w:spacing w:after="100" w:line="290" w:lineRule="auto"/>
            </w:pPr>
            <w:r>
              <w:rPr>
                <w:color w:val="1A1A1A"/>
              </w:rPr>
              <w:t xml:space="preserve">“Find a use for this weak adhesive” is not a question your tool can answer. But </w:t>
            </w:r>
            <w:r>
              <w:rPr>
                <w:b/>
                <w:bCs/>
                <w:i/>
                <w:iCs/>
                <w:color w:val="1F3A5F"/>
              </w:rPr>
              <w:t>“who are the people I should run this past, and what would tell me if any of them sees something I don’t?”</w:t>
            </w:r>
            <w:r>
              <w:rPr>
                <w:color w:val="1A1A1A"/>
              </w:rPr>
              <w:t xml:space="preserve"> is. That is closer to what </w:t>
            </w:r>
            <w:proofErr w:type="gramStart"/>
            <w:r>
              <w:rPr>
                <w:color w:val="1A1A1A"/>
              </w:rPr>
              <w:t>actually worked</w:t>
            </w:r>
            <w:proofErr w:type="gramEnd"/>
            <w:r>
              <w:rPr>
                <w:color w:val="1A1A1A"/>
              </w:rPr>
              <w:t>.</w:t>
            </w:r>
          </w:p>
          <w:p w14:paraId="4C555236" w14:textId="77777777" w:rsidR="007E703E" w:rsidRDefault="005C6EA3">
            <w:pPr>
              <w:spacing w:line="290" w:lineRule="auto"/>
            </w:pPr>
            <w:r>
              <w:rPr>
                <w:color w:val="1A1A1A"/>
              </w:rPr>
              <w:t>Show how your tool handles the case where the team does not yet know what they are looking for. Whom does it tell them to talk to? What signal does it watch for? How would it have shortened the twelve-year gap?</w:t>
            </w:r>
          </w:p>
        </w:tc>
      </w:tr>
    </w:tbl>
    <w:p w14:paraId="29493AB1" w14:textId="77777777" w:rsidR="007E703E" w:rsidRDefault="005C6EA3">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7E703E" w14:paraId="5100EE3E" w14:textId="77777777">
        <w:tblPrEx>
          <w:tblCellMar>
            <w:top w:w="0" w:type="dxa"/>
            <w:bottom w:w="0" w:type="dxa"/>
          </w:tblCellMar>
        </w:tblPrEx>
        <w:tc>
          <w:tcPr>
            <w:tcW w:w="2400" w:type="dxa"/>
            <w:tcBorders>
              <w:top w:val="none" w:sz="0" w:space="0" w:color="FFFFFF"/>
              <w:left w:val="none" w:sz="0" w:space="0" w:color="FFFFFF"/>
              <w:bottom w:val="none" w:sz="0" w:space="0" w:color="FFFFFF"/>
              <w:right w:val="none" w:sz="0" w:space="0" w:color="FFFFFF"/>
            </w:tcBorders>
            <w:shd w:val="clear" w:color="auto" w:fill="1F3A5F"/>
            <w:tcMar>
              <w:top w:w="240" w:type="dxa"/>
              <w:left w:w="200" w:type="dxa"/>
              <w:bottom w:w="240" w:type="dxa"/>
              <w:right w:w="200" w:type="dxa"/>
            </w:tcMar>
            <w:vAlign w:val="center"/>
          </w:tcPr>
          <w:p w14:paraId="795D707D" w14:textId="77777777" w:rsidR="007E703E" w:rsidRDefault="005C6EA3">
            <w:pPr>
              <w:spacing w:after="40"/>
              <w:jc w:val="center"/>
            </w:pPr>
            <w:r>
              <w:rPr>
                <w:b/>
                <w:bCs/>
                <w:color w:val="FFFFFF"/>
                <w:sz w:val="64"/>
                <w:szCs w:val="64"/>
              </w:rPr>
              <w:lastRenderedPageBreak/>
              <w:t>2004 / 2013</w:t>
            </w:r>
          </w:p>
          <w:p w14:paraId="10B171FC" w14:textId="77777777" w:rsidR="007E703E" w:rsidRDefault="005C6EA3">
            <w:pPr>
              <w:jc w:val="center"/>
            </w:pPr>
            <w:r>
              <w:rPr>
                <w:color w:val="FFFFFF"/>
                <w:spacing w:val="30"/>
                <w:sz w:val="18"/>
                <w:szCs w:val="18"/>
              </w:rPr>
              <w:t>GOOGLE</w:t>
            </w:r>
          </w:p>
        </w:tc>
        <w:tc>
          <w:tcPr>
            <w:tcW w:w="6960" w:type="dxa"/>
            <w:tcBorders>
              <w:top w:val="none" w:sz="0" w:space="0" w:color="FFFFFF"/>
              <w:left w:val="none" w:sz="0" w:space="0" w:color="FFFFFF"/>
              <w:bottom w:val="none" w:sz="0" w:space="0" w:color="FFFFFF"/>
              <w:right w:val="none" w:sz="0" w:space="0" w:color="FFFFFF"/>
            </w:tcBorders>
            <w:tcMar>
              <w:top w:w="240" w:type="dxa"/>
              <w:left w:w="320" w:type="dxa"/>
              <w:bottom w:w="240" w:type="dxa"/>
              <w:right w:w="200" w:type="dxa"/>
            </w:tcMar>
            <w:vAlign w:val="center"/>
          </w:tcPr>
          <w:p w14:paraId="026E8CB8" w14:textId="77777777" w:rsidR="007E703E" w:rsidRDefault="005C6EA3">
            <w:pPr>
              <w:spacing w:after="60"/>
            </w:pPr>
            <w:r>
              <w:rPr>
                <w:b/>
                <w:bCs/>
                <w:color w:val="AB1A50"/>
                <w:spacing w:val="40"/>
                <w:sz w:val="18"/>
                <w:szCs w:val="18"/>
              </w:rPr>
              <w:t>CASE STUDY</w:t>
            </w:r>
          </w:p>
          <w:p w14:paraId="66191CD9" w14:textId="77777777" w:rsidR="007E703E" w:rsidRDefault="005C6EA3">
            <w:pPr>
              <w:spacing w:after="80"/>
            </w:pPr>
            <w:r>
              <w:rPr>
                <w:b/>
                <w:bCs/>
                <w:color w:val="1F3A5F"/>
                <w:sz w:val="40"/>
                <w:szCs w:val="40"/>
              </w:rPr>
              <w:t>How 20% time quietly died</w:t>
            </w:r>
          </w:p>
          <w:p w14:paraId="6C749EE7" w14:textId="77777777" w:rsidR="007E703E" w:rsidRDefault="005C6EA3">
            <w:pPr>
              <w:spacing w:line="280" w:lineRule="auto"/>
            </w:pPr>
            <w:r>
              <w:rPr>
                <w:i/>
                <w:iCs/>
                <w:color w:val="5A5A5A"/>
                <w:sz w:val="22"/>
                <w:szCs w:val="22"/>
              </w:rPr>
              <w:t>Nobody decided to end it. A thousand small management decisions ended it for them.</w:t>
            </w:r>
          </w:p>
        </w:tc>
      </w:tr>
    </w:tbl>
    <w:p w14:paraId="2BC090C6" w14:textId="77777777" w:rsidR="007E703E" w:rsidRDefault="007E703E">
      <w:pPr>
        <w:spacing w:after="140"/>
      </w:pPr>
    </w:p>
    <w:p w14:paraId="157EC403" w14:textId="77777777" w:rsidR="007E703E" w:rsidRDefault="005C6EA3">
      <w:pPr>
        <w:spacing w:before="120" w:after="40"/>
      </w:pPr>
      <w:r>
        <w:rPr>
          <w:b/>
          <w:bCs/>
          <w:color w:val="1F3A5F"/>
          <w:sz w:val="22"/>
          <w:szCs w:val="22"/>
        </w:rPr>
        <w:t>The setup</w:t>
      </w:r>
    </w:p>
    <w:p w14:paraId="3B3276E4" w14:textId="77777777" w:rsidR="007E703E" w:rsidRDefault="005C6EA3">
      <w:pPr>
        <w:spacing w:after="120" w:line="290" w:lineRule="auto"/>
      </w:pPr>
      <w:r>
        <w:rPr>
          <w:color w:val="1A1A1A"/>
        </w:rPr>
        <w:t>When Google went public in 2004, Larry Page and Sergey Brin’s founders’ letter cited 20% time as central to the company’s ability to innovate. Engineers could spend one day a week on projects of their own choosing. The output was extraordinary: Gmail, Google News, AdSense (which by 2013 generated about 25% of Google’s annual revenue), Google Talk, Google Sky, Google Transit.</w:t>
      </w:r>
    </w:p>
    <w:p w14:paraId="1A07CD77" w14:textId="77777777" w:rsidR="007E703E" w:rsidRDefault="005C6EA3">
      <w:pPr>
        <w:spacing w:before="120" w:after="40"/>
      </w:pPr>
      <w:r>
        <w:rPr>
          <w:b/>
          <w:bCs/>
          <w:color w:val="1F3A5F"/>
          <w:sz w:val="22"/>
          <w:szCs w:val="22"/>
        </w:rPr>
        <w:t>The moment (</w:t>
      </w:r>
      <w:proofErr w:type="gramStart"/>
      <w:r>
        <w:rPr>
          <w:b/>
          <w:bCs/>
          <w:color w:val="1F3A5F"/>
          <w:sz w:val="22"/>
          <w:szCs w:val="22"/>
        </w:rPr>
        <w:t>or,</w:t>
      </w:r>
      <w:proofErr w:type="gramEnd"/>
      <w:r>
        <w:rPr>
          <w:b/>
          <w:bCs/>
          <w:color w:val="1F3A5F"/>
          <w:sz w:val="22"/>
          <w:szCs w:val="22"/>
        </w:rPr>
        <w:t xml:space="preserve"> the absence of one)</w:t>
      </w:r>
    </w:p>
    <w:p w14:paraId="38621065" w14:textId="77777777" w:rsidR="007E703E" w:rsidRDefault="005C6EA3">
      <w:pPr>
        <w:spacing w:after="120" w:line="290" w:lineRule="auto"/>
      </w:pPr>
      <w:r>
        <w:rPr>
          <w:color w:val="1A1A1A"/>
        </w:rPr>
        <w:t>There is no executive meeting where Google decided to kill 20% time. The policy eroded through a sequence of small, individually reasonable management decisions. Engineers were required to get manager approval before starting a 20% project. Managers began discouraging 20% projects in performance reviews. The internal stack-ranking system stopped rewarding work outside an engineer’s core team.</w:t>
      </w:r>
    </w:p>
    <w:p w14:paraId="251BB514" w14:textId="77777777" w:rsidR="007E703E" w:rsidRDefault="005C6EA3">
      <w:pPr>
        <w:pBdr>
          <w:left w:val="single" w:sz="24" w:space="12" w:color="AB1A50"/>
        </w:pBdr>
        <w:spacing w:before="100" w:after="160" w:line="300" w:lineRule="auto"/>
        <w:ind w:left="360" w:right="240"/>
      </w:pPr>
      <w:r>
        <w:rPr>
          <w:i/>
          <w:iCs/>
          <w:color w:val="1F3A5F"/>
          <w:sz w:val="24"/>
          <w:szCs w:val="24"/>
        </w:rPr>
        <w:t>“I’ve got to tell you the dirty little secret of Google’s 20% time. It’s really 120% time.”</w:t>
      </w:r>
    </w:p>
    <w:p w14:paraId="32FE978F" w14:textId="77777777" w:rsidR="007E703E" w:rsidRDefault="005C6EA3">
      <w:pPr>
        <w:spacing w:after="100" w:line="290" w:lineRule="auto"/>
      </w:pPr>
      <w:r>
        <w:rPr>
          <w:i/>
          <w:iCs/>
          <w:color w:val="5A5A5A"/>
        </w:rPr>
        <w:t>Marissa Mayer, on stage in 2013. By then, Quartz reported the policy was “as good as dead.” Google never formally ended 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334C6ACB" w14:textId="77777777">
        <w:tblPrEx>
          <w:tblCellMar>
            <w:top w:w="0" w:type="dxa"/>
            <w:bottom w:w="0" w:type="dxa"/>
          </w:tblCellMar>
        </w:tblPrEx>
        <w:tc>
          <w:tcPr>
            <w:tcW w:w="9360" w:type="dxa"/>
            <w:tcBorders>
              <w:top w:val="single" w:sz="2" w:space="0" w:color="BBBBBB"/>
              <w:left w:val="single" w:sz="18" w:space="0" w:color="1F3A5F"/>
              <w:bottom w:val="single" w:sz="2" w:space="0" w:color="BBBBBB"/>
              <w:right w:val="single" w:sz="2" w:space="0" w:color="BBBBBB"/>
            </w:tcBorders>
            <w:shd w:val="clear" w:color="auto" w:fill="F4F4F1"/>
            <w:tcMar>
              <w:top w:w="140" w:type="dxa"/>
              <w:left w:w="240" w:type="dxa"/>
              <w:bottom w:w="140" w:type="dxa"/>
              <w:right w:w="220" w:type="dxa"/>
            </w:tcMar>
          </w:tcPr>
          <w:p w14:paraId="6C0913E0" w14:textId="77777777" w:rsidR="007E703E" w:rsidRDefault="005C6EA3">
            <w:pPr>
              <w:spacing w:line="290" w:lineRule="auto"/>
            </w:pPr>
            <w:r>
              <w:rPr>
                <w:b/>
                <w:bCs/>
                <w:color w:val="1F3A5F"/>
              </w:rPr>
              <w:t xml:space="preserve">What happened next. </w:t>
            </w:r>
            <w:r>
              <w:rPr>
                <w:color w:val="1A1A1A"/>
              </w:rPr>
              <w:t>The famous products from 20% time were all incubated before 2010. Google’s major moonshots since then have moved into a separate, walled-off unit (X Development), funded and staffed centrally. The cultural artifact that produced Gmail was gone before anyone noticed.</w:t>
            </w:r>
          </w:p>
        </w:tc>
      </w:tr>
    </w:tbl>
    <w:p w14:paraId="15A9AF50" w14:textId="77777777" w:rsidR="007E703E" w:rsidRDefault="007E703E">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7647FB12" w14:textId="77777777">
        <w:tblPrEx>
          <w:tblCellMar>
            <w:top w:w="0" w:type="dxa"/>
            <w:bottom w:w="0" w:type="dxa"/>
          </w:tblCellMar>
        </w:tblPrEx>
        <w:tc>
          <w:tcPr>
            <w:tcW w:w="9360" w:type="dxa"/>
            <w:tcBorders>
              <w:top w:val="single" w:sz="6" w:space="0" w:color="AB1A50"/>
              <w:left w:val="single" w:sz="32" w:space="0" w:color="AB1A50"/>
              <w:bottom w:val="none" w:sz="0" w:space="0" w:color="FFFFFF"/>
              <w:right w:val="single" w:sz="6" w:space="0" w:color="AB1A50"/>
            </w:tcBorders>
            <w:shd w:val="clear" w:color="auto" w:fill="AB1A50"/>
            <w:tcMar>
              <w:top w:w="100" w:type="dxa"/>
              <w:left w:w="240" w:type="dxa"/>
              <w:bottom w:w="100" w:type="dxa"/>
              <w:right w:w="220" w:type="dxa"/>
            </w:tcMar>
          </w:tcPr>
          <w:p w14:paraId="29B74111" w14:textId="77777777" w:rsidR="007E703E" w:rsidRDefault="005C6EA3">
            <w:pPr>
              <w:spacing w:after="120"/>
            </w:pPr>
            <w:r>
              <w:rPr>
                <w:b/>
                <w:bCs/>
                <w:color w:val="FFFFFF"/>
                <w:spacing w:val="60"/>
                <w:sz w:val="22"/>
                <w:szCs w:val="22"/>
              </w:rPr>
              <w:t>YOUR DESIGN TASK</w:t>
            </w:r>
          </w:p>
        </w:tc>
      </w:tr>
      <w:tr w:rsidR="007E703E" w14:paraId="2E3C33DA" w14:textId="77777777">
        <w:tblPrEx>
          <w:tblCellMar>
            <w:top w:w="0" w:type="dxa"/>
            <w:bottom w:w="0" w:type="dxa"/>
          </w:tblCellMar>
        </w:tblPrEx>
        <w:tc>
          <w:tcPr>
            <w:tcW w:w="9360" w:type="dxa"/>
            <w:tcBorders>
              <w:top w:val="none" w:sz="0" w:space="0" w:color="FFFFFF"/>
              <w:left w:val="single" w:sz="32" w:space="0" w:color="AB1A50"/>
              <w:bottom w:val="single" w:sz="6" w:space="0" w:color="AB1A50"/>
              <w:right w:val="single" w:sz="6" w:space="0" w:color="AB1A50"/>
            </w:tcBorders>
            <w:shd w:val="clear" w:color="auto" w:fill="FAEAEF"/>
            <w:tcMar>
              <w:top w:w="160" w:type="dxa"/>
              <w:left w:w="240" w:type="dxa"/>
              <w:bottom w:w="200" w:type="dxa"/>
              <w:right w:w="220" w:type="dxa"/>
            </w:tcMar>
          </w:tcPr>
          <w:p w14:paraId="4277CFD5" w14:textId="77777777" w:rsidR="007E703E" w:rsidRDefault="005C6EA3">
            <w:pPr>
              <w:spacing w:after="100" w:line="290" w:lineRule="auto"/>
            </w:pPr>
            <w:r>
              <w:rPr>
                <w:color w:val="1A1A1A"/>
              </w:rPr>
              <w:t>This is silent escalation in reverse. The Affordable Loss profile of any single 20% project looked fine at every moment. The Affordable Loss profile of the program itself was bleeding out, project by project, decision by decision.</w:t>
            </w:r>
          </w:p>
          <w:p w14:paraId="096D069C" w14:textId="77777777" w:rsidR="007E703E" w:rsidRDefault="005C6EA3">
            <w:pPr>
              <w:spacing w:after="100" w:line="290" w:lineRule="auto"/>
            </w:pPr>
            <w:r>
              <w:rPr>
                <w:color w:val="1A1A1A"/>
              </w:rPr>
              <w:t xml:space="preserve">If a Google manager in 2008 had been using your tool to track the Affordable Loss of their team’s 20% projects, </w:t>
            </w:r>
            <w:r>
              <w:rPr>
                <w:b/>
                <w:bCs/>
                <w:i/>
                <w:iCs/>
                <w:color w:val="1F3A5F"/>
              </w:rPr>
              <w:t>would it have shown them what was happening to the program as a whole? Would they have noticed in time to defend it?</w:t>
            </w:r>
          </w:p>
          <w:p w14:paraId="36A33530" w14:textId="77777777" w:rsidR="007E703E" w:rsidRDefault="005C6EA3">
            <w:pPr>
              <w:spacing w:line="290" w:lineRule="auto"/>
            </w:pPr>
            <w:r>
              <w:rPr>
                <w:color w:val="1A1A1A"/>
              </w:rPr>
              <w:t>Show whether your tool works for individual experiments only, or whether it can surface patterns across a portfolio. The latter is much harder and much more valuable.</w:t>
            </w:r>
          </w:p>
        </w:tc>
      </w:tr>
    </w:tbl>
    <w:p w14:paraId="569DFBA0" w14:textId="77777777" w:rsidR="007E703E" w:rsidRDefault="005C6EA3">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7E703E" w14:paraId="2CF6234D" w14:textId="77777777">
        <w:tblPrEx>
          <w:tblCellMar>
            <w:top w:w="0" w:type="dxa"/>
            <w:bottom w:w="0" w:type="dxa"/>
          </w:tblCellMar>
        </w:tblPrEx>
        <w:tc>
          <w:tcPr>
            <w:tcW w:w="2400" w:type="dxa"/>
            <w:tcBorders>
              <w:top w:val="none" w:sz="0" w:space="0" w:color="FFFFFF"/>
              <w:left w:val="none" w:sz="0" w:space="0" w:color="FFFFFF"/>
              <w:bottom w:val="none" w:sz="0" w:space="0" w:color="FFFFFF"/>
              <w:right w:val="none" w:sz="0" w:space="0" w:color="FFFFFF"/>
            </w:tcBorders>
            <w:shd w:val="clear" w:color="auto" w:fill="1F3A5F"/>
            <w:tcMar>
              <w:top w:w="240" w:type="dxa"/>
              <w:left w:w="200" w:type="dxa"/>
              <w:bottom w:w="240" w:type="dxa"/>
              <w:right w:w="200" w:type="dxa"/>
            </w:tcMar>
            <w:vAlign w:val="center"/>
          </w:tcPr>
          <w:p w14:paraId="05CB0345" w14:textId="77777777" w:rsidR="007E703E" w:rsidRDefault="005C6EA3">
            <w:pPr>
              <w:spacing w:after="40"/>
              <w:jc w:val="center"/>
            </w:pPr>
            <w:r>
              <w:rPr>
                <w:b/>
                <w:bCs/>
                <w:color w:val="FFFFFF"/>
                <w:sz w:val="64"/>
                <w:szCs w:val="64"/>
              </w:rPr>
              <w:lastRenderedPageBreak/>
              <w:t>late 1980s</w:t>
            </w:r>
          </w:p>
          <w:p w14:paraId="58490EE2" w14:textId="77777777" w:rsidR="007E703E" w:rsidRDefault="005C6EA3">
            <w:pPr>
              <w:jc w:val="center"/>
            </w:pPr>
            <w:r>
              <w:rPr>
                <w:color w:val="FFFFFF"/>
                <w:spacing w:val="30"/>
                <w:sz w:val="18"/>
                <w:szCs w:val="18"/>
              </w:rPr>
              <w:t>SONY</w:t>
            </w:r>
          </w:p>
        </w:tc>
        <w:tc>
          <w:tcPr>
            <w:tcW w:w="6960" w:type="dxa"/>
            <w:tcBorders>
              <w:top w:val="none" w:sz="0" w:space="0" w:color="FFFFFF"/>
              <w:left w:val="none" w:sz="0" w:space="0" w:color="FFFFFF"/>
              <w:bottom w:val="none" w:sz="0" w:space="0" w:color="FFFFFF"/>
              <w:right w:val="none" w:sz="0" w:space="0" w:color="FFFFFF"/>
            </w:tcBorders>
            <w:tcMar>
              <w:top w:w="240" w:type="dxa"/>
              <w:left w:w="320" w:type="dxa"/>
              <w:bottom w:w="240" w:type="dxa"/>
              <w:right w:w="200" w:type="dxa"/>
            </w:tcMar>
            <w:vAlign w:val="center"/>
          </w:tcPr>
          <w:p w14:paraId="05CCE360" w14:textId="77777777" w:rsidR="007E703E" w:rsidRDefault="005C6EA3">
            <w:pPr>
              <w:spacing w:after="60"/>
            </w:pPr>
            <w:r>
              <w:rPr>
                <w:b/>
                <w:bCs/>
                <w:color w:val="AB1A50"/>
                <w:spacing w:val="40"/>
                <w:sz w:val="18"/>
                <w:szCs w:val="18"/>
              </w:rPr>
              <w:t>CASE STUDY</w:t>
            </w:r>
          </w:p>
          <w:p w14:paraId="203B833D" w14:textId="77777777" w:rsidR="007E703E" w:rsidRDefault="005C6EA3">
            <w:pPr>
              <w:spacing w:after="80"/>
            </w:pPr>
            <w:r>
              <w:rPr>
                <w:b/>
                <w:bCs/>
                <w:color w:val="1F3A5F"/>
                <w:sz w:val="40"/>
                <w:szCs w:val="40"/>
              </w:rPr>
              <w:t>Ken Kutaragi’s unauthorized side project</w:t>
            </w:r>
          </w:p>
          <w:p w14:paraId="262678D4" w14:textId="77777777" w:rsidR="007E703E" w:rsidRDefault="005C6EA3">
            <w:pPr>
              <w:spacing w:line="280" w:lineRule="auto"/>
            </w:pPr>
            <w:r>
              <w:rPr>
                <w:i/>
                <w:iCs/>
                <w:color w:val="5A5A5A"/>
                <w:sz w:val="22"/>
                <w:szCs w:val="22"/>
              </w:rPr>
              <w:t>He bet his career. The CEO bet the company. They had completely different loss profiles.</w:t>
            </w:r>
          </w:p>
        </w:tc>
      </w:tr>
    </w:tbl>
    <w:p w14:paraId="79B502FB" w14:textId="77777777" w:rsidR="007E703E" w:rsidRDefault="007E703E">
      <w:pPr>
        <w:spacing w:after="140"/>
      </w:pPr>
    </w:p>
    <w:p w14:paraId="3040585C" w14:textId="77777777" w:rsidR="007E703E" w:rsidRDefault="005C6EA3">
      <w:pPr>
        <w:spacing w:before="120" w:after="40"/>
      </w:pPr>
      <w:r>
        <w:rPr>
          <w:b/>
          <w:bCs/>
          <w:color w:val="1F3A5F"/>
          <w:sz w:val="22"/>
          <w:szCs w:val="22"/>
        </w:rPr>
        <w:t>The setup</w:t>
      </w:r>
    </w:p>
    <w:p w14:paraId="2F8AA0F5" w14:textId="77777777" w:rsidR="007E703E" w:rsidRDefault="005C6EA3">
      <w:pPr>
        <w:spacing w:after="120" w:line="290" w:lineRule="auto"/>
      </w:pPr>
      <w:r>
        <w:rPr>
          <w:color w:val="1A1A1A"/>
        </w:rPr>
        <w:t xml:space="preserve">Late 1980s. Ken Kutaragi was a junior engineer at Sony working on audio chips. His daughter loved playing Nintendo’s </w:t>
      </w:r>
      <w:proofErr w:type="spellStart"/>
      <w:r>
        <w:rPr>
          <w:color w:val="1A1A1A"/>
        </w:rPr>
        <w:t>Famicom</w:t>
      </w:r>
      <w:proofErr w:type="spellEnd"/>
      <w:r>
        <w:rPr>
          <w:color w:val="1A1A1A"/>
        </w:rPr>
        <w:t xml:space="preserve">. </w:t>
      </w:r>
      <w:proofErr w:type="spellStart"/>
      <w:r>
        <w:rPr>
          <w:color w:val="1A1A1A"/>
        </w:rPr>
        <w:t>Kutaragi</w:t>
      </w:r>
      <w:proofErr w:type="spellEnd"/>
      <w:r>
        <w:rPr>
          <w:color w:val="1A1A1A"/>
        </w:rPr>
        <w:t xml:space="preserve"> noticed the </w:t>
      </w:r>
      <w:proofErr w:type="spellStart"/>
      <w:r>
        <w:rPr>
          <w:color w:val="1A1A1A"/>
        </w:rPr>
        <w:t>Famicom’s</w:t>
      </w:r>
      <w:proofErr w:type="spellEnd"/>
      <w:r>
        <w:rPr>
          <w:color w:val="1A1A1A"/>
        </w:rPr>
        <w:t xml:space="preserve"> sound chip was crude. He started moonlighting, without approval, to design a better one for Nintendo. When Sony executives found out he had been working with a competitor on a side project, they were furious. Most companies would have fired him.</w:t>
      </w:r>
    </w:p>
    <w:p w14:paraId="744DA12E" w14:textId="77777777" w:rsidR="007E703E" w:rsidRDefault="005C6EA3">
      <w:pPr>
        <w:spacing w:before="120" w:after="40"/>
      </w:pPr>
      <w:r>
        <w:rPr>
          <w:b/>
          <w:bCs/>
          <w:color w:val="1F3A5F"/>
          <w:sz w:val="22"/>
          <w:szCs w:val="22"/>
        </w:rPr>
        <w:t>The moment</w:t>
      </w:r>
    </w:p>
    <w:p w14:paraId="612D5B2B" w14:textId="77777777" w:rsidR="007E703E" w:rsidRDefault="005C6EA3">
      <w:pPr>
        <w:spacing w:after="120" w:line="290" w:lineRule="auto"/>
      </w:pPr>
      <w:r>
        <w:rPr>
          <w:color w:val="1A1A1A"/>
        </w:rPr>
        <w:t xml:space="preserve">Sony’s then-president, Norio Ohga, intervened. He saw something the rest of the executives missed. </w:t>
      </w:r>
      <w:proofErr w:type="spellStart"/>
      <w:r>
        <w:rPr>
          <w:color w:val="1A1A1A"/>
        </w:rPr>
        <w:t>Ohga</w:t>
      </w:r>
      <w:proofErr w:type="spellEnd"/>
      <w:r>
        <w:rPr>
          <w:color w:val="1A1A1A"/>
        </w:rPr>
        <w:t xml:space="preserve"> authorized </w:t>
      </w:r>
      <w:proofErr w:type="spellStart"/>
      <w:r>
        <w:rPr>
          <w:color w:val="1A1A1A"/>
        </w:rPr>
        <w:t>Kutaragi</w:t>
      </w:r>
      <w:proofErr w:type="spellEnd"/>
      <w:r>
        <w:rPr>
          <w:color w:val="1A1A1A"/>
        </w:rPr>
        <w:t xml:space="preserve"> to continue the work. Then in 1991, Nintendo publicly humiliated Sony at the Consumer Electronics Show by announcing a partnership with Philips instead, without warning. Sony executives wanted to drop the project entirely. </w:t>
      </w:r>
      <w:proofErr w:type="spellStart"/>
      <w:r>
        <w:rPr>
          <w:color w:val="1A1A1A"/>
        </w:rPr>
        <w:t>Ohga</w:t>
      </w:r>
      <w:proofErr w:type="spellEnd"/>
      <w:r>
        <w:rPr>
          <w:color w:val="1A1A1A"/>
        </w:rPr>
        <w:t xml:space="preserve"> refused. He told </w:t>
      </w:r>
      <w:proofErr w:type="spellStart"/>
      <w:r>
        <w:rPr>
          <w:color w:val="1A1A1A"/>
        </w:rPr>
        <w:t>Kutaragi</w:t>
      </w:r>
      <w:proofErr w:type="spellEnd"/>
      <w:r>
        <w:rPr>
          <w:color w:val="1A1A1A"/>
        </w:rPr>
        <w:t xml:space="preserve"> to build a standalone console.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7E97D54F" w14:textId="77777777">
        <w:tblPrEx>
          <w:tblCellMar>
            <w:top w:w="0" w:type="dxa"/>
            <w:bottom w:w="0" w:type="dxa"/>
          </w:tblCellMar>
        </w:tblPrEx>
        <w:tc>
          <w:tcPr>
            <w:tcW w:w="9360" w:type="dxa"/>
            <w:tcBorders>
              <w:top w:val="single" w:sz="2" w:space="0" w:color="BBBBBB"/>
              <w:left w:val="single" w:sz="18" w:space="0" w:color="1F3A5F"/>
              <w:bottom w:val="single" w:sz="2" w:space="0" w:color="BBBBBB"/>
              <w:right w:val="single" w:sz="2" w:space="0" w:color="BBBBBB"/>
            </w:tcBorders>
            <w:shd w:val="clear" w:color="auto" w:fill="F4F4F1"/>
            <w:tcMar>
              <w:top w:w="140" w:type="dxa"/>
              <w:left w:w="240" w:type="dxa"/>
              <w:bottom w:w="140" w:type="dxa"/>
              <w:right w:w="220" w:type="dxa"/>
            </w:tcMar>
          </w:tcPr>
          <w:p w14:paraId="240F6B65" w14:textId="77777777" w:rsidR="007E703E" w:rsidRDefault="005C6EA3">
            <w:pPr>
              <w:spacing w:line="290" w:lineRule="auto"/>
            </w:pPr>
            <w:r>
              <w:rPr>
                <w:b/>
                <w:bCs/>
                <w:color w:val="1F3A5F"/>
              </w:rPr>
              <w:t xml:space="preserve">What happened next. </w:t>
            </w:r>
            <w:r>
              <w:rPr>
                <w:color w:val="1A1A1A"/>
              </w:rPr>
              <w:t>The PlayStation launched in Japan in December 1994. It sold over 100 million units in its lifecycle. By 2007, Sony’s gaming division was generating more operating income than its entire consumer electronics business.</w:t>
            </w:r>
          </w:p>
        </w:tc>
      </w:tr>
    </w:tbl>
    <w:p w14:paraId="21DF2CD0" w14:textId="77777777" w:rsidR="007E703E" w:rsidRDefault="007E703E">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3203A44C" w14:textId="77777777">
        <w:tblPrEx>
          <w:tblCellMar>
            <w:top w:w="0" w:type="dxa"/>
            <w:bottom w:w="0" w:type="dxa"/>
          </w:tblCellMar>
        </w:tblPrEx>
        <w:tc>
          <w:tcPr>
            <w:tcW w:w="9360" w:type="dxa"/>
            <w:tcBorders>
              <w:top w:val="single" w:sz="6" w:space="0" w:color="AB1A50"/>
              <w:left w:val="single" w:sz="32" w:space="0" w:color="AB1A50"/>
              <w:bottom w:val="none" w:sz="0" w:space="0" w:color="FFFFFF"/>
              <w:right w:val="single" w:sz="6" w:space="0" w:color="AB1A50"/>
            </w:tcBorders>
            <w:shd w:val="clear" w:color="auto" w:fill="AB1A50"/>
            <w:tcMar>
              <w:top w:w="100" w:type="dxa"/>
              <w:left w:w="240" w:type="dxa"/>
              <w:bottom w:w="100" w:type="dxa"/>
              <w:right w:w="220" w:type="dxa"/>
            </w:tcMar>
          </w:tcPr>
          <w:p w14:paraId="09C6FDCF" w14:textId="77777777" w:rsidR="007E703E" w:rsidRDefault="005C6EA3">
            <w:pPr>
              <w:spacing w:after="120"/>
            </w:pPr>
            <w:r>
              <w:rPr>
                <w:b/>
                <w:bCs/>
                <w:color w:val="FFFFFF"/>
                <w:spacing w:val="60"/>
                <w:sz w:val="22"/>
                <w:szCs w:val="22"/>
              </w:rPr>
              <w:t>YOUR DESIGN TASK</w:t>
            </w:r>
          </w:p>
        </w:tc>
      </w:tr>
      <w:tr w:rsidR="007E703E" w14:paraId="177559DB" w14:textId="77777777">
        <w:tblPrEx>
          <w:tblCellMar>
            <w:top w:w="0" w:type="dxa"/>
            <w:bottom w:w="0" w:type="dxa"/>
          </w:tblCellMar>
        </w:tblPrEx>
        <w:tc>
          <w:tcPr>
            <w:tcW w:w="9360" w:type="dxa"/>
            <w:tcBorders>
              <w:top w:val="none" w:sz="0" w:space="0" w:color="FFFFFF"/>
              <w:left w:val="single" w:sz="32" w:space="0" w:color="AB1A50"/>
              <w:bottom w:val="single" w:sz="6" w:space="0" w:color="AB1A50"/>
              <w:right w:val="single" w:sz="6" w:space="0" w:color="AB1A50"/>
            </w:tcBorders>
            <w:shd w:val="clear" w:color="auto" w:fill="FAEAEF"/>
            <w:tcMar>
              <w:top w:w="160" w:type="dxa"/>
              <w:left w:w="240" w:type="dxa"/>
              <w:bottom w:w="200" w:type="dxa"/>
              <w:right w:w="220" w:type="dxa"/>
            </w:tcMar>
          </w:tcPr>
          <w:p w14:paraId="50C2D6FE" w14:textId="77777777" w:rsidR="007E703E" w:rsidRDefault="005C6EA3">
            <w:pPr>
              <w:spacing w:after="100" w:line="290" w:lineRule="auto"/>
            </w:pPr>
            <w:r>
              <w:rPr>
                <w:color w:val="1A1A1A"/>
              </w:rPr>
              <w:t xml:space="preserve">The Affordable Loss decision here happened at the executive sponsor level, not the team level. </w:t>
            </w:r>
            <w:proofErr w:type="spellStart"/>
            <w:r>
              <w:rPr>
                <w:color w:val="1A1A1A"/>
              </w:rPr>
              <w:t>Kutaragi</w:t>
            </w:r>
            <w:proofErr w:type="spellEnd"/>
            <w:r>
              <w:rPr>
                <w:color w:val="1A1A1A"/>
              </w:rPr>
              <w:t xml:space="preserve"> was already over-committed: he had bet his career and his standing inside Sony. The question of whether the company should continue was being made by </w:t>
            </w:r>
            <w:proofErr w:type="spellStart"/>
            <w:r>
              <w:rPr>
                <w:color w:val="1A1A1A"/>
              </w:rPr>
              <w:t>Ohga</w:t>
            </w:r>
            <w:proofErr w:type="spellEnd"/>
            <w:r>
              <w:rPr>
                <w:color w:val="1A1A1A"/>
              </w:rPr>
              <w:t>, who had a completely different loss profile.</w:t>
            </w:r>
          </w:p>
          <w:p w14:paraId="5DBEB0E1" w14:textId="77777777" w:rsidR="007E703E" w:rsidRDefault="005C6EA3">
            <w:pPr>
              <w:spacing w:after="100" w:line="290" w:lineRule="auto"/>
            </w:pPr>
            <w:r>
              <w:rPr>
                <w:color w:val="1A1A1A"/>
              </w:rPr>
              <w:t xml:space="preserve">In a corporation this is almost always the case. The team has skin in the game; the sponsor has different skin in a different game; the steering committee has yet another loss profile. </w:t>
            </w:r>
            <w:r>
              <w:rPr>
                <w:b/>
                <w:bCs/>
                <w:i/>
                <w:iCs/>
                <w:color w:val="1F3A5F"/>
              </w:rPr>
              <w:t>Does your tool model these differences, or does it collapse them into one set of numbers?</w:t>
            </w:r>
          </w:p>
          <w:p w14:paraId="77948313" w14:textId="77777777" w:rsidR="007E703E" w:rsidRDefault="005C6EA3">
            <w:pPr>
              <w:spacing w:line="290" w:lineRule="auto"/>
            </w:pPr>
            <w:r>
              <w:rPr>
                <w:color w:val="1A1A1A"/>
              </w:rPr>
              <w:t xml:space="preserve">Show how your tool handles multiple stakeholders with different stakes. What does it tell </w:t>
            </w:r>
            <w:proofErr w:type="spellStart"/>
            <w:r>
              <w:rPr>
                <w:color w:val="1A1A1A"/>
              </w:rPr>
              <w:t>Kutaragi</w:t>
            </w:r>
            <w:proofErr w:type="spellEnd"/>
            <w:r>
              <w:rPr>
                <w:color w:val="1A1A1A"/>
              </w:rPr>
              <w:t xml:space="preserve">? What does it tell </w:t>
            </w:r>
            <w:proofErr w:type="spellStart"/>
            <w:r>
              <w:rPr>
                <w:color w:val="1A1A1A"/>
              </w:rPr>
              <w:t>Ohga</w:t>
            </w:r>
            <w:proofErr w:type="spellEnd"/>
            <w:r>
              <w:rPr>
                <w:color w:val="1A1A1A"/>
              </w:rPr>
              <w:t>? Are they the same screen?</w:t>
            </w:r>
          </w:p>
        </w:tc>
      </w:tr>
    </w:tbl>
    <w:p w14:paraId="0C04D3E5" w14:textId="77777777" w:rsidR="007E703E" w:rsidRDefault="005C6EA3">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7E703E" w14:paraId="4F7DF654" w14:textId="77777777">
        <w:tblPrEx>
          <w:tblCellMar>
            <w:top w:w="0" w:type="dxa"/>
            <w:bottom w:w="0" w:type="dxa"/>
          </w:tblCellMar>
        </w:tblPrEx>
        <w:tc>
          <w:tcPr>
            <w:tcW w:w="2400" w:type="dxa"/>
            <w:tcBorders>
              <w:top w:val="none" w:sz="0" w:space="0" w:color="FFFFFF"/>
              <w:left w:val="none" w:sz="0" w:space="0" w:color="FFFFFF"/>
              <w:bottom w:val="none" w:sz="0" w:space="0" w:color="FFFFFF"/>
              <w:right w:val="none" w:sz="0" w:space="0" w:color="FFFFFF"/>
            </w:tcBorders>
            <w:shd w:val="clear" w:color="auto" w:fill="1F3A5F"/>
            <w:tcMar>
              <w:top w:w="240" w:type="dxa"/>
              <w:left w:w="200" w:type="dxa"/>
              <w:bottom w:w="240" w:type="dxa"/>
              <w:right w:w="200" w:type="dxa"/>
            </w:tcMar>
            <w:vAlign w:val="center"/>
          </w:tcPr>
          <w:p w14:paraId="3041A78C" w14:textId="77777777" w:rsidR="007E703E" w:rsidRDefault="005C6EA3">
            <w:pPr>
              <w:spacing w:after="40"/>
              <w:jc w:val="center"/>
            </w:pPr>
            <w:r>
              <w:rPr>
                <w:b/>
                <w:bCs/>
                <w:color w:val="FFFFFF"/>
                <w:sz w:val="64"/>
                <w:szCs w:val="64"/>
              </w:rPr>
              <w:lastRenderedPageBreak/>
              <w:t>2025</w:t>
            </w:r>
          </w:p>
          <w:p w14:paraId="61C577E7" w14:textId="77777777" w:rsidR="007E703E" w:rsidRDefault="005C6EA3">
            <w:pPr>
              <w:jc w:val="center"/>
            </w:pPr>
            <w:r>
              <w:rPr>
                <w:color w:val="FFFFFF"/>
                <w:spacing w:val="30"/>
                <w:sz w:val="18"/>
                <w:szCs w:val="18"/>
              </w:rPr>
              <w:t>MIT NANDA</w:t>
            </w:r>
          </w:p>
        </w:tc>
        <w:tc>
          <w:tcPr>
            <w:tcW w:w="6960" w:type="dxa"/>
            <w:tcBorders>
              <w:top w:val="none" w:sz="0" w:space="0" w:color="FFFFFF"/>
              <w:left w:val="none" w:sz="0" w:space="0" w:color="FFFFFF"/>
              <w:bottom w:val="none" w:sz="0" w:space="0" w:color="FFFFFF"/>
              <w:right w:val="none" w:sz="0" w:space="0" w:color="FFFFFF"/>
            </w:tcBorders>
            <w:tcMar>
              <w:top w:w="240" w:type="dxa"/>
              <w:left w:w="320" w:type="dxa"/>
              <w:bottom w:w="240" w:type="dxa"/>
              <w:right w:w="200" w:type="dxa"/>
            </w:tcMar>
            <w:vAlign w:val="center"/>
          </w:tcPr>
          <w:p w14:paraId="6F95D526" w14:textId="77777777" w:rsidR="007E703E" w:rsidRDefault="005C6EA3">
            <w:pPr>
              <w:spacing w:after="60"/>
            </w:pPr>
            <w:r>
              <w:rPr>
                <w:b/>
                <w:bCs/>
                <w:color w:val="AB1A50"/>
                <w:spacing w:val="40"/>
                <w:sz w:val="18"/>
                <w:szCs w:val="18"/>
              </w:rPr>
              <w:t>CASE STUDY</w:t>
            </w:r>
          </w:p>
          <w:p w14:paraId="621EF2C9" w14:textId="77777777" w:rsidR="007E703E" w:rsidRDefault="005C6EA3">
            <w:pPr>
              <w:spacing w:after="80"/>
            </w:pPr>
            <w:r>
              <w:rPr>
                <w:b/>
                <w:bCs/>
                <w:color w:val="1F3A5F"/>
                <w:sz w:val="40"/>
                <w:szCs w:val="40"/>
              </w:rPr>
              <w:t>The 95% AI pilot failure</w:t>
            </w:r>
          </w:p>
          <w:p w14:paraId="5854FD15" w14:textId="77777777" w:rsidR="007E703E" w:rsidRDefault="005C6EA3">
            <w:pPr>
              <w:spacing w:line="280" w:lineRule="auto"/>
            </w:pPr>
            <w:r>
              <w:rPr>
                <w:i/>
                <w:iCs/>
                <w:color w:val="5A5A5A"/>
                <w:sz w:val="22"/>
                <w:szCs w:val="22"/>
              </w:rPr>
              <w:t>Most failed pilots were not killed by a decision. They died of silent abandonment.</w:t>
            </w:r>
          </w:p>
        </w:tc>
      </w:tr>
    </w:tbl>
    <w:p w14:paraId="2E5FDD57" w14:textId="77777777" w:rsidR="007E703E" w:rsidRDefault="007E703E">
      <w:pPr>
        <w:spacing w:after="140"/>
      </w:pPr>
    </w:p>
    <w:p w14:paraId="2EBB30DE" w14:textId="77777777" w:rsidR="007E703E" w:rsidRDefault="005C6EA3">
      <w:pPr>
        <w:spacing w:before="120" w:after="40"/>
      </w:pPr>
      <w:r>
        <w:rPr>
          <w:b/>
          <w:bCs/>
          <w:color w:val="1F3A5F"/>
          <w:sz w:val="22"/>
          <w:szCs w:val="22"/>
        </w:rPr>
        <w:t>The setup</w:t>
      </w:r>
    </w:p>
    <w:p w14:paraId="5E4E7B74" w14:textId="77777777" w:rsidR="007E703E" w:rsidRDefault="005C6EA3">
      <w:pPr>
        <w:spacing w:after="120" w:line="290" w:lineRule="auto"/>
      </w:pPr>
      <w:r>
        <w:rPr>
          <w:color w:val="1A1A1A"/>
        </w:rPr>
        <w:t>July 2025. Researchers at MIT’s NANDA initiative published The GenAI Divide: State of AI in Business 2025, based on 52 executive interviews, surveys of 153 leaders, and analysis of 300 enterprise AI deployments. Of $30 to $40 billion in enterprise generative AI pilot spending, 95% produced no measurable impact on profit and loss.</w:t>
      </w:r>
    </w:p>
    <w:p w14:paraId="03E303EF" w14:textId="77777777" w:rsidR="007E703E" w:rsidRDefault="005C6EA3">
      <w:pPr>
        <w:spacing w:before="120" w:after="40"/>
      </w:pPr>
      <w:r>
        <w:rPr>
          <w:b/>
          <w:bCs/>
          <w:color w:val="1F3A5F"/>
          <w:sz w:val="22"/>
          <w:szCs w:val="22"/>
        </w:rPr>
        <w:t>The moment (that keeps repeating)</w:t>
      </w:r>
    </w:p>
    <w:p w14:paraId="371AA5CA" w14:textId="77777777" w:rsidR="007E703E" w:rsidRDefault="005C6EA3">
      <w:pPr>
        <w:spacing w:after="120" w:line="290" w:lineRule="auto"/>
      </w:pPr>
      <w:r>
        <w:rPr>
          <w:color w:val="1A1A1A"/>
        </w:rPr>
        <w:t>Every one of those failed pilots had the same arc. A team gets excited about generative AI. They build or buy a pilot. They demo it to executives. The pilot launches. Three to nine months later, the pilot quietly disappears. Nobody declares it a failure. It simply stops getting budget. The team moves on.</w:t>
      </w:r>
    </w:p>
    <w:p w14:paraId="1457188B" w14:textId="77777777" w:rsidR="007E703E" w:rsidRDefault="005C6EA3">
      <w:pPr>
        <w:pBdr>
          <w:left w:val="single" w:sz="24" w:space="12" w:color="AB1A50"/>
        </w:pBdr>
        <w:spacing w:before="100" w:after="160" w:line="300" w:lineRule="auto"/>
        <w:ind w:left="360" w:right="240"/>
      </w:pPr>
      <w:r>
        <w:rPr>
          <w:i/>
          <w:iCs/>
          <w:color w:val="1F3A5F"/>
          <w:sz w:val="24"/>
          <w:szCs w:val="24"/>
        </w:rPr>
        <w:t>“The hype on LinkedIn says everything has changed, but in our operations, nothing fundamental has shifted.”</w:t>
      </w:r>
    </w:p>
    <w:p w14:paraId="6C553E05" w14:textId="77777777" w:rsidR="007E703E" w:rsidRDefault="005C6EA3">
      <w:pPr>
        <w:spacing w:after="100" w:line="290" w:lineRule="auto"/>
      </w:pPr>
      <w:r>
        <w:rPr>
          <w:i/>
          <w:iCs/>
          <w:color w:val="5A5A5A"/>
        </w:rPr>
        <w:t>Manufacturing COO, quoted in the report. The numbers underneath the headline are even sharper: pilots built through vendor partnerships succeeded about 67% of the time; pilots built internally by IT departments succeeded about 22% of the time.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399EDB39" w14:textId="77777777">
        <w:tblPrEx>
          <w:tblCellMar>
            <w:top w:w="0" w:type="dxa"/>
            <w:bottom w:w="0" w:type="dxa"/>
          </w:tblCellMar>
        </w:tblPrEx>
        <w:tc>
          <w:tcPr>
            <w:tcW w:w="9360" w:type="dxa"/>
            <w:tcBorders>
              <w:top w:val="single" w:sz="2" w:space="0" w:color="BBBBBB"/>
              <w:left w:val="single" w:sz="18" w:space="0" w:color="1F3A5F"/>
              <w:bottom w:val="single" w:sz="2" w:space="0" w:color="BBBBBB"/>
              <w:right w:val="single" w:sz="2" w:space="0" w:color="BBBBBB"/>
            </w:tcBorders>
            <w:shd w:val="clear" w:color="auto" w:fill="F4F4F1"/>
            <w:tcMar>
              <w:top w:w="140" w:type="dxa"/>
              <w:left w:w="240" w:type="dxa"/>
              <w:bottom w:w="140" w:type="dxa"/>
              <w:right w:w="220" w:type="dxa"/>
            </w:tcMar>
          </w:tcPr>
          <w:p w14:paraId="1D39487E" w14:textId="77777777" w:rsidR="007E703E" w:rsidRDefault="005C6EA3">
            <w:pPr>
              <w:spacing w:line="290" w:lineRule="auto"/>
            </w:pPr>
            <w:r>
              <w:rPr>
                <w:b/>
                <w:bCs/>
                <w:color w:val="1F3A5F"/>
              </w:rPr>
              <w:t xml:space="preserve">What this dilemma reveals. </w:t>
            </w:r>
            <w:r>
              <w:rPr>
                <w:color w:val="1A1A1A"/>
              </w:rPr>
              <w:t>Most of those failed pilots were not killed by a decision. They died of silent escalation followed by silent abandonment. They started small, ran past the point of clear failure without anyone calling time, accumulated sunk cost in vendor contracts and team commitments, and then quietly stopped existing.</w:t>
            </w:r>
          </w:p>
        </w:tc>
      </w:tr>
    </w:tbl>
    <w:p w14:paraId="1E4CDE32" w14:textId="77777777" w:rsidR="007E703E" w:rsidRDefault="007E703E">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703E" w14:paraId="1D1E3EF6" w14:textId="77777777">
        <w:tblPrEx>
          <w:tblCellMar>
            <w:top w:w="0" w:type="dxa"/>
            <w:bottom w:w="0" w:type="dxa"/>
          </w:tblCellMar>
        </w:tblPrEx>
        <w:tc>
          <w:tcPr>
            <w:tcW w:w="9360" w:type="dxa"/>
            <w:tcBorders>
              <w:top w:val="single" w:sz="6" w:space="0" w:color="AB1A50"/>
              <w:left w:val="single" w:sz="32" w:space="0" w:color="AB1A50"/>
              <w:bottom w:val="none" w:sz="0" w:space="0" w:color="FFFFFF"/>
              <w:right w:val="single" w:sz="6" w:space="0" w:color="AB1A50"/>
            </w:tcBorders>
            <w:shd w:val="clear" w:color="auto" w:fill="AB1A50"/>
            <w:tcMar>
              <w:top w:w="100" w:type="dxa"/>
              <w:left w:w="240" w:type="dxa"/>
              <w:bottom w:w="100" w:type="dxa"/>
              <w:right w:w="220" w:type="dxa"/>
            </w:tcMar>
          </w:tcPr>
          <w:p w14:paraId="05F4D865" w14:textId="77777777" w:rsidR="007E703E" w:rsidRDefault="005C6EA3">
            <w:pPr>
              <w:spacing w:after="120"/>
            </w:pPr>
            <w:r>
              <w:rPr>
                <w:b/>
                <w:bCs/>
                <w:color w:val="FFFFFF"/>
                <w:spacing w:val="60"/>
                <w:sz w:val="22"/>
                <w:szCs w:val="22"/>
              </w:rPr>
              <w:t>YOUR DESIGN TASK</w:t>
            </w:r>
          </w:p>
        </w:tc>
      </w:tr>
      <w:tr w:rsidR="007E703E" w14:paraId="38DAA4E6" w14:textId="77777777">
        <w:tblPrEx>
          <w:tblCellMar>
            <w:top w:w="0" w:type="dxa"/>
            <w:bottom w:w="0" w:type="dxa"/>
          </w:tblCellMar>
        </w:tblPrEx>
        <w:tc>
          <w:tcPr>
            <w:tcW w:w="9360" w:type="dxa"/>
            <w:tcBorders>
              <w:top w:val="none" w:sz="0" w:space="0" w:color="FFFFFF"/>
              <w:left w:val="single" w:sz="32" w:space="0" w:color="AB1A50"/>
              <w:bottom w:val="single" w:sz="6" w:space="0" w:color="AB1A50"/>
              <w:right w:val="single" w:sz="6" w:space="0" w:color="AB1A50"/>
            </w:tcBorders>
            <w:shd w:val="clear" w:color="auto" w:fill="FAEAEF"/>
            <w:tcMar>
              <w:top w:w="160" w:type="dxa"/>
              <w:left w:w="240" w:type="dxa"/>
              <w:bottom w:w="200" w:type="dxa"/>
              <w:right w:w="220" w:type="dxa"/>
            </w:tcMar>
          </w:tcPr>
          <w:p w14:paraId="2C62138C" w14:textId="77777777" w:rsidR="007E703E" w:rsidRDefault="005C6EA3">
            <w:pPr>
              <w:spacing w:after="100" w:line="290" w:lineRule="auto"/>
            </w:pPr>
            <w:r>
              <w:rPr>
                <w:color w:val="1A1A1A"/>
              </w:rPr>
              <w:t>This is the most contemporary dilemma in the corpus, and arguably the most important. The Uncertainty Navigator is being built into a moment where companies are pouring billions into pilots that 95% of the time will not produce results.</w:t>
            </w:r>
          </w:p>
          <w:p w14:paraId="4994B3D5" w14:textId="77777777" w:rsidR="007E703E" w:rsidRDefault="005C6EA3">
            <w:pPr>
              <w:spacing w:after="100" w:line="290" w:lineRule="auto"/>
            </w:pPr>
            <w:r>
              <w:rPr>
                <w:color w:val="1A1A1A"/>
              </w:rPr>
              <w:t xml:space="preserve">For an AI pilot specifically: </w:t>
            </w:r>
            <w:r>
              <w:rPr>
                <w:b/>
                <w:bCs/>
                <w:i/>
                <w:iCs/>
                <w:color w:val="1F3A5F"/>
              </w:rPr>
              <w:t>what does Affordable Loss look like in week 1 vs. week 8 vs. month 6? At what point should your tool refuse to let the team keep going without an explicit re-commitment?</w:t>
            </w:r>
          </w:p>
          <w:p w14:paraId="68C3C147" w14:textId="77777777" w:rsidR="007E703E" w:rsidRDefault="005C6EA3">
            <w:pPr>
              <w:spacing w:line="290" w:lineRule="auto"/>
            </w:pPr>
            <w:r>
              <w:rPr>
                <w:color w:val="1A1A1A"/>
              </w:rPr>
              <w:t>Show how your tool would have changed the trajectory of one of those 95% of pilots. Bonus: does it route teams toward the higher-success vendor-partnered structure over the lower-success internal build?</w:t>
            </w:r>
          </w:p>
        </w:tc>
      </w:tr>
    </w:tbl>
    <w:p w14:paraId="36F4D8CE" w14:textId="77777777" w:rsidR="005C6EA3" w:rsidRDefault="005C6EA3"/>
    <w:sectPr w:rsidR="005C6EA3">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865F7" w14:textId="77777777" w:rsidR="005C6EA3" w:rsidRDefault="005C6EA3">
      <w:r>
        <w:separator/>
      </w:r>
    </w:p>
  </w:endnote>
  <w:endnote w:type="continuationSeparator" w:id="0">
    <w:p w14:paraId="44B3A928" w14:textId="77777777" w:rsidR="005C6EA3" w:rsidRDefault="005C6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CA75" w14:textId="77777777" w:rsidR="007E703E" w:rsidRDefault="005C6EA3">
    <w:pPr>
      <w:jc w:val="center"/>
    </w:pPr>
    <w:r>
      <w:rPr>
        <w:color w:val="5A5A5A"/>
        <w:sz w:val="16"/>
        <w:szCs w:val="16"/>
      </w:rPr>
      <w:t xml:space="preserve">Page </w:t>
    </w:r>
    <w:r>
      <w:rPr>
        <w:b/>
        <w:bCs/>
        <w:color w:val="5A5A5A"/>
        <w:sz w:val="16"/>
        <w:szCs w:val="16"/>
      </w:rPr>
      <w:fldChar w:fldCharType="begin"/>
    </w:r>
    <w:r>
      <w:rPr>
        <w:b/>
        <w:bCs/>
        <w:color w:val="5A5A5A"/>
        <w:sz w:val="16"/>
        <w:szCs w:val="16"/>
      </w:rPr>
      <w:instrText>PAGE</w:instrText>
    </w:r>
    <w:r>
      <w:rPr>
        <w:b/>
        <w:bCs/>
        <w:color w:val="5A5A5A"/>
        <w:sz w:val="16"/>
        <w:szCs w:val="16"/>
      </w:rPr>
      <w:fldChar w:fldCharType="separate"/>
    </w:r>
    <w:r w:rsidR="00320C02">
      <w:rPr>
        <w:b/>
        <w:bCs/>
        <w:noProof/>
        <w:color w:val="5A5A5A"/>
        <w:sz w:val="16"/>
        <w:szCs w:val="16"/>
      </w:rPr>
      <w:t>1</w:t>
    </w:r>
    <w:r>
      <w:rPr>
        <w:b/>
        <w:bCs/>
        <w:color w:val="5A5A5A"/>
        <w:sz w:val="16"/>
        <w:szCs w:val="16"/>
      </w:rPr>
      <w:fldChar w:fldCharType="end"/>
    </w:r>
    <w:r>
      <w:rPr>
        <w:color w:val="5A5A5A"/>
        <w:sz w:val="16"/>
        <w:szCs w:val="16"/>
      </w:rPr>
      <w:t xml:space="preserve"> / </w:t>
    </w:r>
    <w:r>
      <w:rPr>
        <w:color w:val="5A5A5A"/>
        <w:sz w:val="16"/>
        <w:szCs w:val="16"/>
      </w:rPr>
      <w:fldChar w:fldCharType="begin"/>
    </w:r>
    <w:r>
      <w:rPr>
        <w:color w:val="5A5A5A"/>
        <w:sz w:val="16"/>
        <w:szCs w:val="16"/>
      </w:rPr>
      <w:instrText>NUMPAGES</w:instrText>
    </w:r>
    <w:r>
      <w:rPr>
        <w:color w:val="5A5A5A"/>
        <w:sz w:val="16"/>
        <w:szCs w:val="16"/>
      </w:rPr>
      <w:fldChar w:fldCharType="separate"/>
    </w:r>
    <w:r w:rsidR="00320C02">
      <w:rPr>
        <w:noProof/>
        <w:color w:val="5A5A5A"/>
        <w:sz w:val="16"/>
        <w:szCs w:val="16"/>
      </w:rPr>
      <w:t>2</w:t>
    </w:r>
    <w:r>
      <w:rPr>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3F8C" w14:textId="77777777" w:rsidR="005C6EA3" w:rsidRDefault="005C6EA3">
      <w:r>
        <w:separator/>
      </w:r>
    </w:p>
  </w:footnote>
  <w:footnote w:type="continuationSeparator" w:id="0">
    <w:p w14:paraId="3DE24B27" w14:textId="77777777" w:rsidR="005C6EA3" w:rsidRDefault="005C6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D73C" w14:textId="77777777" w:rsidR="007E703E" w:rsidRDefault="005C6EA3">
    <w:pPr>
      <w:pBdr>
        <w:bottom w:val="single" w:sz="4" w:space="6" w:color="1F3A5F"/>
      </w:pBdr>
      <w:tabs>
        <w:tab w:val="right" w:pos="9360"/>
      </w:tabs>
      <w:spacing w:after="80"/>
    </w:pPr>
    <w:proofErr w:type="gramStart"/>
    <w:r>
      <w:rPr>
        <w:b/>
        <w:bCs/>
        <w:color w:val="AB1A50"/>
        <w:spacing w:val="40"/>
        <w:sz w:val="16"/>
        <w:szCs w:val="16"/>
      </w:rPr>
      <w:t>INTRAPRISE</w:t>
    </w:r>
    <w:r>
      <w:rPr>
        <w:color w:val="5A5A5A"/>
        <w:sz w:val="16"/>
        <w:szCs w:val="16"/>
      </w:rPr>
      <w:t xml:space="preserve">  /</w:t>
    </w:r>
    <w:proofErr w:type="gramEnd"/>
    <w:r>
      <w:rPr>
        <w:color w:val="5A5A5A"/>
        <w:sz w:val="16"/>
        <w:szCs w:val="16"/>
      </w:rPr>
      <w:t xml:space="preserve">  The Uncertainty Navigator</w:t>
    </w:r>
    <w:r>
      <w:rPr>
        <w:sz w:val="16"/>
        <w:szCs w:val="16"/>
      </w:rPr>
      <w:tab/>
    </w:r>
    <w:r>
      <w:rPr>
        <w:i/>
        <w:iCs/>
        <w:color w:val="5A5A5A"/>
        <w:sz w:val="16"/>
        <w:szCs w:val="16"/>
      </w:rPr>
      <w:t>Case Studies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00B42"/>
    <w:multiLevelType w:val="hybridMultilevel"/>
    <w:tmpl w:val="25B036E0"/>
    <w:lvl w:ilvl="0" w:tplc="A55AFC84">
      <w:start w:val="1"/>
      <w:numFmt w:val="bullet"/>
      <w:lvlText w:val="●"/>
      <w:lvlJc w:val="left"/>
      <w:pPr>
        <w:ind w:left="720" w:hanging="360"/>
      </w:pPr>
    </w:lvl>
    <w:lvl w:ilvl="1" w:tplc="10A4A7AC">
      <w:start w:val="1"/>
      <w:numFmt w:val="bullet"/>
      <w:lvlText w:val="○"/>
      <w:lvlJc w:val="left"/>
      <w:pPr>
        <w:ind w:left="1440" w:hanging="360"/>
      </w:pPr>
    </w:lvl>
    <w:lvl w:ilvl="2" w:tplc="03C84828">
      <w:start w:val="1"/>
      <w:numFmt w:val="bullet"/>
      <w:lvlText w:val="■"/>
      <w:lvlJc w:val="left"/>
      <w:pPr>
        <w:ind w:left="2160" w:hanging="360"/>
      </w:pPr>
    </w:lvl>
    <w:lvl w:ilvl="3" w:tplc="80282294">
      <w:start w:val="1"/>
      <w:numFmt w:val="bullet"/>
      <w:lvlText w:val="●"/>
      <w:lvlJc w:val="left"/>
      <w:pPr>
        <w:ind w:left="2880" w:hanging="360"/>
      </w:pPr>
    </w:lvl>
    <w:lvl w:ilvl="4" w:tplc="D1540F62">
      <w:start w:val="1"/>
      <w:numFmt w:val="bullet"/>
      <w:lvlText w:val="○"/>
      <w:lvlJc w:val="left"/>
      <w:pPr>
        <w:ind w:left="3600" w:hanging="360"/>
      </w:pPr>
    </w:lvl>
    <w:lvl w:ilvl="5" w:tplc="6A48C4AC">
      <w:start w:val="1"/>
      <w:numFmt w:val="bullet"/>
      <w:lvlText w:val="■"/>
      <w:lvlJc w:val="left"/>
      <w:pPr>
        <w:ind w:left="4320" w:hanging="360"/>
      </w:pPr>
    </w:lvl>
    <w:lvl w:ilvl="6" w:tplc="9A66B7D4">
      <w:start w:val="1"/>
      <w:numFmt w:val="bullet"/>
      <w:lvlText w:val="●"/>
      <w:lvlJc w:val="left"/>
      <w:pPr>
        <w:ind w:left="5040" w:hanging="360"/>
      </w:pPr>
    </w:lvl>
    <w:lvl w:ilvl="7" w:tplc="F41C832C">
      <w:start w:val="1"/>
      <w:numFmt w:val="bullet"/>
      <w:lvlText w:val="●"/>
      <w:lvlJc w:val="left"/>
      <w:pPr>
        <w:ind w:left="5760" w:hanging="360"/>
      </w:pPr>
    </w:lvl>
    <w:lvl w:ilvl="8" w:tplc="B688EDBA">
      <w:start w:val="1"/>
      <w:numFmt w:val="bullet"/>
      <w:lvlText w:val="●"/>
      <w:lvlJc w:val="left"/>
      <w:pPr>
        <w:ind w:left="6480" w:hanging="360"/>
      </w:pPr>
    </w:lvl>
  </w:abstractNum>
  <w:num w:numId="1" w16cid:durableId="909002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3E"/>
    <w:rsid w:val="00320C02"/>
    <w:rsid w:val="005C6EA3"/>
    <w:rsid w:val="007E703E"/>
    <w:rsid w:val="00F3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6CA836"/>
  <w15:docId w15:val="{8D3BA03F-AED9-7B4E-A2A8-5F4B4154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1574</Words>
  <Characters>8975</Characters>
  <Application>Microsoft Office Word</Application>
  <DocSecurity>0</DocSecurity>
  <Lines>74</Lines>
  <Paragraphs>21</Paragraphs>
  <ScaleCrop>false</ScaleCrop>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Studies - The Uncertainty Navigator</dc:title>
  <dc:creator>Intraprise</dc:creator>
  <cp:lastModifiedBy>Katrin Schwab</cp:lastModifiedBy>
  <cp:revision>2</cp:revision>
  <dcterms:created xsi:type="dcterms:W3CDTF">2026-05-23T11:10:00Z</dcterms:created>
  <dcterms:modified xsi:type="dcterms:W3CDTF">2026-05-23T11:10:00Z</dcterms:modified>
</cp:coreProperties>
</file>